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E91A0B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ΠΑΡΟΧΗ ΥΠΗΡΕΣΙΩΝ ΑΠΟΛΥΜΑΝΣΗΣ – ΑΠΕΝΤΟΜΩΣΗΣ - ΦΙΔΟΑΠΩΘΗΣΗΣ</w:t>
      </w:r>
      <w:r w:rsidRPr="002566E4">
        <w:rPr>
          <w:rFonts w:ascii="Verdana" w:hAnsi="Verdana"/>
          <w:b/>
          <w:sz w:val="18"/>
          <w:szCs w:val="18"/>
        </w:rPr>
        <w:t xml:space="preserve"> </w:t>
      </w:r>
      <w:r w:rsidR="008F6D22"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E91A0B">
        <w:rPr>
          <w:rFonts w:ascii="Verdana" w:eastAsia="Verdana" w:hAnsi="Verdana" w:cs="Arial"/>
          <w:b/>
          <w:spacing w:val="1"/>
          <w:sz w:val="18"/>
          <w:szCs w:val="18"/>
        </w:rPr>
        <w:t>139</w:t>
      </w:r>
      <w:r w:rsidR="00E91A0B">
        <w:rPr>
          <w:rFonts w:ascii="Verdana" w:eastAsia="Verdana" w:hAnsi="Verdana" w:cs="Arial"/>
          <w:b/>
          <w:spacing w:val="1"/>
          <w:sz w:val="18"/>
          <w:szCs w:val="18"/>
          <w:lang w:val="en-US"/>
        </w:rPr>
        <w:t>70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E91A0B" w:rsidRPr="00E91A0B" w:rsidRDefault="00E91A0B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tbl>
      <w:tblPr>
        <w:tblW w:w="10788" w:type="dxa"/>
        <w:jc w:val="center"/>
        <w:tblInd w:w="91" w:type="dxa"/>
        <w:tblLook w:val="04A0"/>
      </w:tblPr>
      <w:tblGrid>
        <w:gridCol w:w="318"/>
        <w:gridCol w:w="6855"/>
        <w:gridCol w:w="551"/>
        <w:gridCol w:w="551"/>
        <w:gridCol w:w="1228"/>
        <w:gridCol w:w="1285"/>
      </w:tblGrid>
      <w:tr w:rsidR="00E91A0B" w:rsidRPr="00781051" w:rsidTr="0002621F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ΠΑΡΟΧΗ ΥΠΗΡΕΣΙΩΝ </w:t>
            </w:r>
            <w:r w:rsidRPr="00FC7B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ΑΠΟΛΥΜΑΝΣΗΣ – ΑΠΕΝΤΟΜΩΣΗΣ - ΦΙΔΟΑΠΩΘΗΣΗΣ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E91A0B" w:rsidRPr="00781051" w:rsidTr="000262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ΠΕ</w:t>
            </w:r>
            <w:r w:rsidR="00C6031E">
              <w:rPr>
                <w:rFonts w:ascii="Verdana" w:hAnsi="Verdana"/>
                <w:color w:val="000000"/>
                <w:sz w:val="16"/>
                <w:szCs w:val="16"/>
              </w:rPr>
              <w:t xml:space="preserve">ΡΙΟΔΟΣ ΚΑΛΥΨΗΣ 01-07-2018 ΕΩΣ </w:t>
            </w:r>
            <w:r w:rsidR="00C6031E" w:rsidRPr="00C6031E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-08-2018 (4 ΕΠΑΝΑΛΗΨΕΙΣ ΤΟΥΛΑΧΙΣΤΟΝ)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2.000,00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91A0B" w:rsidRPr="00781051" w:rsidTr="0002621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(ΜΕ ΦΠΑ)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0B" w:rsidRPr="00781051" w:rsidRDefault="00E91A0B" w:rsidP="0002621F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2.480,00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E91A0B" w:rsidRPr="00FC7B48" w:rsidRDefault="00E91A0B" w:rsidP="00E91A0B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Οι δαπάνες που αφορούν την παροχή υπηρεσιών απολύμανσης – απεντόμωσης – φιδοαπώθησης στον περιβάλλοντα χώρο της κατασκήνωσης, περιλαμβάνουν 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εφαρμογές που θα λάβουν χώρα τουλάχιστον τέσσερις (4) φορές ανάμεσα στις αλλαγές των group και όποτε άλλοτε παρουσιαστεί επιπλέον ανάγκη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, τοποθέτηση δολωματικών σταθμών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σε λεβητοστάσια, αποθήκες και 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τουαλέτες 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που θα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ελέγχονται ανά εφαρμογή, καθώς θα γίνεται και απεντόμωση στους χώρους αυτο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ύς την ίδια χρονική στιγμή, το κόστος επίσκεψης, ελέγχου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, αντικατάστασης των δολωμά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των στους δολωματικούς σταθμούς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, το κόστος των δολωματικών σταθμών, η συμπλήρωση του φακέλου π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αρασιτοκτονίας με τα απαραίτητα, </w:t>
      </w:r>
      <w:r w:rsidRPr="008758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καθώς και το κόστος απολυμαντικών και εντομοκτόνων. </w:t>
      </w:r>
    </w:p>
    <w:p w:rsidR="00970580" w:rsidRPr="00C6031E" w:rsidRDefault="00970580" w:rsidP="00E91A0B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4B89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2779C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E5EBC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1D63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31E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1A0B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227</cp:revision>
  <cp:lastPrinted>2018-06-22T13:40:00Z</cp:lastPrinted>
  <dcterms:created xsi:type="dcterms:W3CDTF">2016-03-02T10:37:00Z</dcterms:created>
  <dcterms:modified xsi:type="dcterms:W3CDTF">2018-06-25T15:08:00Z</dcterms:modified>
</cp:coreProperties>
</file>